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tif" ContentType="image/tif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ind w:left="1418" w:hanging="0"/>
        <w:jc w:val="center"/>
        <w:rPr>
          <w:rFonts w:ascii="Times New Roman" w:hAnsi="Times New Roman" w:cs="Times New Roman"/>
          <w:b/>
          <w:b/>
          <w:bCs/>
        </w:rPr>
      </w:pPr>
      <w:r>
        <w:drawing>
          <wp:anchor behindDoc="0" distT="0" distB="0" distL="114300" distR="114300" simplePos="0" locked="0" layoutInCell="0" allowOverlap="1" relativeHeight="2">
            <wp:simplePos x="0" y="0"/>
            <wp:positionH relativeFrom="column">
              <wp:posOffset>103505</wp:posOffset>
            </wp:positionH>
            <wp:positionV relativeFrom="paragraph">
              <wp:posOffset>635</wp:posOffset>
            </wp:positionV>
            <wp:extent cx="658495" cy="688975"/>
            <wp:effectExtent l="0" t="0" r="0" b="0"/>
            <wp:wrapSquare wrapText="bothSides"/>
            <wp:docPr id="1"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
                    <pic:cNvPicPr>
                      <a:picLocks noChangeAspect="1" noChangeArrowheads="1"/>
                    </pic:cNvPicPr>
                  </pic:nvPicPr>
                  <pic:blipFill>
                    <a:blip r:embed="rId2"/>
                    <a:stretch>
                      <a:fillRect/>
                    </a:stretch>
                  </pic:blipFill>
                  <pic:spPr bwMode="auto">
                    <a:xfrm>
                      <a:off x="0" y="0"/>
                      <a:ext cx="658495" cy="688975"/>
                    </a:xfrm>
                    <a:prstGeom prst="rect">
                      <a:avLst/>
                    </a:prstGeom>
                  </pic:spPr>
                </pic:pic>
              </a:graphicData>
            </a:graphic>
          </wp:anchor>
        </w:drawing>
      </w:r>
      <w:r>
        <w:rPr>
          <w:rFonts w:ascii="Georgia" w:hAnsi="Georgia"/>
          <w:b/>
          <w:bCs/>
        </w:rPr>
        <w:t>Sdružení pro stavebněhistorický průzkum, z. s.</w:t>
      </w:r>
      <w:r>
        <w:rPr>
          <w:b/>
          <w:bCs/>
        </w:rPr>
        <w:br/>
      </w:r>
      <w:r>
        <w:rPr>
          <w:rFonts w:cs="Times New Roman" w:ascii="Times New Roman" w:hAnsi="Times New Roman"/>
          <w:b/>
          <w:bCs/>
        </w:rPr>
        <w:t>Stochovská 151/12, 161 00 Praha 6 – Ruzyně</w:t>
      </w:r>
    </w:p>
    <w:p>
      <w:pPr>
        <w:pStyle w:val="Default"/>
        <w:ind w:left="1418" w:hanging="0"/>
        <w:jc w:val="center"/>
        <w:rPr>
          <w:rFonts w:ascii="Times New Roman" w:hAnsi="Times New Roman" w:cs="Times New Roman"/>
          <w:b/>
          <w:b/>
          <w:bCs/>
        </w:rPr>
      </w:pPr>
      <w:r>
        <w:rPr>
          <w:rFonts w:cs="Times New Roman" w:ascii="Times New Roman" w:hAnsi="Times New Roman"/>
          <w:b/>
          <w:bCs/>
        </w:rPr>
        <w:t xml:space="preserve">www.svornik.cz; </w:t>
      </w:r>
      <w:r>
        <w:rPr>
          <w:rFonts w:cs="Times New Roman" w:ascii="Times New Roman" w:hAnsi="Times New Roman"/>
        </w:rPr>
        <w:t>IČ</w:t>
      </w:r>
      <w:r>
        <w:rPr>
          <w:rFonts w:cs="Times New Roman" w:ascii="Times New Roman" w:hAnsi="Times New Roman"/>
          <w:b/>
          <w:bCs/>
        </w:rPr>
        <w:t xml:space="preserve"> 26543206; </w:t>
      </w:r>
      <w:r>
        <w:rPr/>
        <w:t>ID datové schránky</w:t>
      </w:r>
      <w:r>
        <w:rPr>
          <w:rFonts w:cs="Times New Roman" w:ascii="Times New Roman" w:hAnsi="Times New Roman"/>
        </w:rPr>
        <w:t>:</w:t>
      </w:r>
      <w:r>
        <w:rPr>
          <w:rFonts w:cs="Times New Roman" w:ascii="Times New Roman" w:hAnsi="Times New Roman"/>
          <w:b/>
          <w:bCs/>
        </w:rPr>
        <w:t xml:space="preserve"> sirv6z9</w:t>
      </w:r>
    </w:p>
    <w:p>
      <w:pPr>
        <w:pStyle w:val="Normal"/>
        <w:jc w:val="both"/>
        <w:rPr>
          <w:sz w:val="24"/>
          <w:szCs w:val="24"/>
        </w:rPr>
      </w:pPr>
      <w:r>
        <w:rPr>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Georgia" w:hAnsi="Georgia" w:cs="Times New Roman"/>
          <w:b/>
          <w:b/>
          <w:sz w:val="24"/>
          <w:szCs w:val="24"/>
        </w:rPr>
      </w:pPr>
      <w:r>
        <w:rPr>
          <w:rFonts w:cs="Times New Roman" w:ascii="Georgia" w:hAnsi="Georgia"/>
          <w:b/>
          <w:sz w:val="24"/>
          <w:szCs w:val="24"/>
        </w:rPr>
        <w:t>Stanovisko Rady Sdružení pro stavebněhistorický průzkum, z. s. k Rezolúcii o možnostiach a spôsoboch zastrešovania hradných objektov</w:t>
      </w:r>
    </w:p>
    <w:p>
      <w:pPr>
        <w:pStyle w:val="Normal"/>
        <w:jc w:val="both"/>
        <w:rPr>
          <w:rFonts w:ascii="Georgia" w:hAnsi="Georgia" w:cs="Times New Roman"/>
          <w:sz w:val="24"/>
          <w:szCs w:val="24"/>
        </w:rPr>
      </w:pPr>
      <w:r>
        <w:rPr>
          <w:rFonts w:cs="Times New Roman" w:ascii="Georgia" w:hAnsi="Georgia"/>
          <w:sz w:val="24"/>
          <w:szCs w:val="24"/>
        </w:rPr>
        <w:t>Rada Sdružení pro stavebněhistorický průzkum se seznámila s Rezolúcií o možnostiach a spôsoboch zastrešovania hradných objektov z 1. 6. 2023, v níž se část občanských sdružení a zástupců samospráv ve Slovenské republice domáhá navrácení některých hradních zřícenin do funkčního stavu, což podle nich není bez střech a účelových úprav vnitřních prostor možné.</w:t>
      </w:r>
    </w:p>
    <w:p>
      <w:pPr>
        <w:pStyle w:val="Normal"/>
        <w:jc w:val="both"/>
        <w:rPr>
          <w:rFonts w:ascii="Georgia" w:hAnsi="Georgia" w:cs="Times New Roman"/>
          <w:sz w:val="24"/>
          <w:szCs w:val="24"/>
        </w:rPr>
      </w:pPr>
      <w:r>
        <w:rPr>
          <w:rFonts w:cs="Times New Roman" w:ascii="Georgia" w:hAnsi="Georgia"/>
          <w:sz w:val="24"/>
          <w:szCs w:val="24"/>
        </w:rPr>
        <w:t>V České republice byl problematice zastřešování torzální architektury naposledy věnován workshop na severočeském hradě Bezděz v roce 2010, z něhož byla v časopise Zprávy památkové péče, roč. 71, 2011, číslo 1 publikována Závěrečná doporučení o deseti bodech shrnující základní principy možností provádět takové zásahy na hradních zříceninách. Sdružení pro stavebněhistorický průzkum, z. s., které této složité problematice věnuje kontinuální pozornost, považuje publikovaná Závěrečná doporučení za nadále platná a aktuální.</w:t>
      </w:r>
    </w:p>
    <w:p>
      <w:pPr>
        <w:pStyle w:val="Normal"/>
        <w:jc w:val="both"/>
        <w:rPr>
          <w:rFonts w:ascii="Georgia" w:hAnsi="Georgia" w:cs="Times New Roman"/>
          <w:sz w:val="24"/>
          <w:szCs w:val="24"/>
        </w:rPr>
      </w:pPr>
      <w:r>
        <w:rPr>
          <w:rFonts w:cs="Times New Roman" w:ascii="Georgia" w:hAnsi="Georgia"/>
          <w:sz w:val="24"/>
          <w:szCs w:val="24"/>
        </w:rPr>
        <w:t>Zříceniny slovenských hradů jsou významnou a nedílnou částí evropského kulturního dědictví a představují cenný hmotný historický pramen, který je nezbytné uchovávat v pokud možno intaktním stavu. Jakékoli úpravy v zájmu návštěvnického provozu a komerčních aktivit, které by vedly k jeho komolení, nelze akceptovat.</w:t>
      </w:r>
    </w:p>
    <w:p>
      <w:pPr>
        <w:pStyle w:val="Normal"/>
        <w:jc w:val="both"/>
        <w:rPr>
          <w:rFonts w:ascii="Georgia" w:hAnsi="Georgia" w:cs="Times New Roman"/>
          <w:sz w:val="24"/>
          <w:szCs w:val="24"/>
        </w:rPr>
      </w:pPr>
      <w:r>
        <w:rPr>
          <w:rFonts w:cs="Times New Roman" w:ascii="Georgia" w:hAnsi="Georgia"/>
          <w:sz w:val="24"/>
          <w:szCs w:val="24"/>
        </w:rPr>
        <w:t>Rada Sdružení pro stavebněhistorický průzkum, z.s. se v této otázce ztotožňuje s názory vyjádřenými předním specialistou na hradní zříceniny na Slovensku Ing. arch. Martinem Bónou, Ph.D. v jeho poznámkách k uvedené Rezolúcii z 26. 6. 2023.</w:t>
      </w:r>
    </w:p>
    <w:p>
      <w:pPr>
        <w:pStyle w:val="Normal"/>
        <w:jc w:val="both"/>
        <w:rPr>
          <w:rFonts w:ascii="Georgia" w:hAnsi="Georgia" w:cs="Times New Roman"/>
          <w:sz w:val="24"/>
          <w:szCs w:val="24"/>
        </w:rPr>
      </w:pPr>
      <w:r>
        <w:rPr>
          <w:rFonts w:cs="Times New Roman" w:ascii="Georgia" w:hAnsi="Georgia"/>
          <w:sz w:val="24"/>
          <w:szCs w:val="24"/>
        </w:rPr>
      </w:r>
    </w:p>
    <w:p>
      <w:pPr>
        <w:pStyle w:val="Normal"/>
        <w:jc w:val="both"/>
        <w:rPr>
          <w:rFonts w:ascii="Georgia" w:hAnsi="Georgia" w:cs="Times New Roman"/>
          <w:sz w:val="24"/>
          <w:szCs w:val="24"/>
        </w:rPr>
      </w:pPr>
      <w:r>
        <w:drawing>
          <wp:anchor behindDoc="1" distT="0" distB="0" distL="0" distR="0" simplePos="0" locked="0" layoutInCell="0" allowOverlap="1" relativeHeight="3">
            <wp:simplePos x="0" y="0"/>
            <wp:positionH relativeFrom="column">
              <wp:posOffset>3045460</wp:posOffset>
            </wp:positionH>
            <wp:positionV relativeFrom="paragraph">
              <wp:posOffset>235585</wp:posOffset>
            </wp:positionV>
            <wp:extent cx="1314450" cy="384810"/>
            <wp:effectExtent l="0" t="0" r="0" b="0"/>
            <wp:wrapNone/>
            <wp:docPr id="2"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
                    <pic:cNvPicPr>
                      <a:picLocks noChangeAspect="1" noChangeArrowheads="1"/>
                    </pic:cNvPicPr>
                  </pic:nvPicPr>
                  <pic:blipFill>
                    <a:blip r:embed="rId3"/>
                    <a:stretch>
                      <a:fillRect/>
                    </a:stretch>
                  </pic:blipFill>
                  <pic:spPr bwMode="auto">
                    <a:xfrm>
                      <a:off x="0" y="0"/>
                      <a:ext cx="1314450" cy="384810"/>
                    </a:xfrm>
                    <a:prstGeom prst="rect">
                      <a:avLst/>
                    </a:prstGeom>
                  </pic:spPr>
                </pic:pic>
              </a:graphicData>
            </a:graphic>
          </wp:anchor>
        </w:drawing>
      </w:r>
      <w:r>
        <w:rPr>
          <w:rFonts w:cs="Times New Roman" w:ascii="Georgia" w:hAnsi="Georgia"/>
          <w:sz w:val="24"/>
          <w:szCs w:val="24"/>
        </w:rPr>
        <w:t>V Praze dne 14. 7. 2023</w:t>
      </w:r>
    </w:p>
    <w:p>
      <w:pPr>
        <w:pStyle w:val="Normal"/>
        <w:jc w:val="both"/>
        <w:rPr>
          <w:rFonts w:ascii="Georgia" w:hAnsi="Georgia" w:cs="Times New Roman"/>
          <w:sz w:val="24"/>
          <w:szCs w:val="24"/>
        </w:rPr>
      </w:pPr>
      <w:r>
        <w:rPr>
          <w:rFonts w:cs="Times New Roman" w:ascii="Georgia" w:hAnsi="Georgia"/>
          <w:sz w:val="24"/>
          <w:szCs w:val="24"/>
        </w:rPr>
      </w:r>
    </w:p>
    <w:p>
      <w:pPr>
        <w:pStyle w:val="Default"/>
        <w:ind w:left="4248" w:firstLine="708"/>
        <w:rPr>
          <w:rFonts w:ascii="Georgia" w:hAnsi="Georgia" w:cs="Times New Roman"/>
        </w:rPr>
      </w:pPr>
      <w:r>
        <w:rPr>
          <w:rFonts w:cs="Times New Roman" w:ascii="Georgia" w:hAnsi="Georgia"/>
        </w:rPr>
        <w:t>Mgr. David Otáhal</w:t>
      </w:r>
    </w:p>
    <w:p>
      <w:pPr>
        <w:pStyle w:val="Default"/>
        <w:rPr>
          <w:rFonts w:ascii="Georgia" w:hAnsi="Georgia" w:cs="Times New Roman"/>
        </w:rPr>
      </w:pPr>
      <w:r>
        <w:rPr>
          <w:rFonts w:cs="Times New Roman" w:ascii="Georgia" w:hAnsi="Georgia"/>
        </w:rPr>
      </w:r>
    </w:p>
    <w:p>
      <w:pPr>
        <w:pStyle w:val="Default"/>
        <w:ind w:left="2832" w:hanging="0"/>
        <w:rPr>
          <w:rFonts w:ascii="Georgia" w:hAnsi="Georgia" w:cs="Times New Roman"/>
        </w:rPr>
      </w:pPr>
      <w:r>
        <w:rPr>
          <w:rFonts w:cs="Times New Roman" w:ascii="Georgia" w:hAnsi="Georgia"/>
        </w:rPr>
        <w:t>starosta Sdružení pro stavebněhistorický průzkum, z.s.</w:t>
      </w:r>
    </w:p>
    <w:p>
      <w:pPr>
        <w:pStyle w:val="Default"/>
        <w:rPr>
          <w:rFonts w:ascii="Georgia" w:hAnsi="Georgia" w:cs="Times New Roman"/>
        </w:rPr>
      </w:pPr>
      <w:r>
        <w:rPr>
          <w:rFonts w:cs="Times New Roman" w:ascii="Georgia" w:hAnsi="Georgia"/>
        </w:rPr>
      </w:r>
    </w:p>
    <w:p>
      <w:pPr>
        <w:pStyle w:val="Default"/>
        <w:rPr>
          <w:rFonts w:ascii="Georgia" w:hAnsi="Georgia" w:cs="Times New Roman"/>
        </w:rPr>
      </w:pPr>
      <w:r>
        <w:rPr>
          <w:rFonts w:cs="Times New Roman" w:ascii="Georgia" w:hAnsi="Georgia"/>
        </w:rPr>
      </w:r>
    </w:p>
    <w:p>
      <w:pPr>
        <w:pStyle w:val="Default"/>
        <w:rPr>
          <w:rFonts w:ascii="Georgia" w:hAnsi="Georgia" w:cs="Times New Roman"/>
        </w:rPr>
      </w:pPr>
      <w:r>
        <w:rPr>
          <w:rFonts w:cs="Times New Roman" w:ascii="Georgia" w:hAnsi="Georgia"/>
        </w:rPr>
        <w:t xml:space="preserve">Příloha: </w:t>
      </w:r>
    </w:p>
    <w:p>
      <w:pPr>
        <w:pStyle w:val="Default"/>
        <w:rPr>
          <w:rFonts w:ascii="Georgia" w:hAnsi="Georgia" w:cs="Times New Roman"/>
        </w:rPr>
      </w:pPr>
      <w:r>
        <w:rPr>
          <w:rFonts w:cs="Times New Roman" w:ascii="Georgia" w:hAnsi="Georgia"/>
        </w:rPr>
        <w:t>Článek Peter Glos: Zastrešenie Manského paláca na Státním hradě Bezděz, s uvedením Závěrečných doporučení workshopu (in Zprávy památkové péče, roč. 71, 2011, číslo 1).</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Garamond">
    <w:charset w:val="ee"/>
    <w:family w:val="roman"/>
    <w:pitch w:val="variable"/>
  </w:font>
  <w:font w:name="Georgia">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57d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Default" w:customStyle="1">
    <w:name w:val="Default"/>
    <w:qFormat/>
    <w:rsid w:val="00d000b3"/>
    <w:pPr>
      <w:widowControl/>
      <w:bidi w:val="0"/>
      <w:spacing w:lineRule="auto" w:line="240" w:before="0" w:after="0"/>
      <w:jc w:val="left"/>
    </w:pPr>
    <w:rPr>
      <w:rFonts w:ascii="Garamond" w:hAnsi="Garamond" w:cs="Garamond" w:eastAsia="Calibri"/>
      <w:color w:val="000000"/>
      <w:kern w:val="0"/>
      <w:sz w:val="24"/>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ti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LibreOffice/7.4.5.1$Windows_X86_64 LibreOffice_project/9c0871452b3918c1019dde9bfac75448afc4b57f</Application>
  <AppVersion>15.0000</AppVersion>
  <Pages>1</Pages>
  <Words>277</Words>
  <Characters>1714</Characters>
  <CharactersWithSpaces>1981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2023-07-14T06:27:00Z</dcterms:created>
  <dc:creator>Jiří</dc:creator>
  <dc:description/>
  <dc:language>cs-CZ</dc:language>
  <cp:lastModifiedBy>Jiří</cp:lastModifiedBy>
  <dcterms:modified xsi:type="dcterms:W3CDTF">2023-07-14T08:05:00Z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